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培训专家介绍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罗胜潇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PMI（美国项目管理协会）认证PMP（项目管理专业人士）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“就业昆明行”特邀新媒体领域顾问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安宁市青年（大学生）创业园特聘新媒体顾问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昆明冶金高等专科学校外聘新媒体领域讲师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西瓜视频认证“优质历史领域创作者”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今日头条认证“优质历史领域创作者”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与昆明冶金高等专科学校合编教材《新媒体就业实务》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张裕骐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注册会计师（CPA）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注册税务师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10年+年财税咨询行业经·验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为云南超过3000家企业提供财税顾问及咨询服务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擅长财务系统建设和规范化咨询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擅长企业历史遗留问题梳理与业、财分析体系搭建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申栋宾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企业高级合规师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用工风险管控系统辅导师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劳动法律法规实战专家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劳动争议处理指导师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法务OPP讲师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926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F47E8-A961-4AC0-87DA-BE0BD7A21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DB5B41-EC21-4194-B3CD-3D3C6B7012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4757F4-3A0E-470E-9F41-332DCD0407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64057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138D3FA2"/>
    <w:rsid w:val="1537655C"/>
    <w:rsid w:val="287326EC"/>
    <w:rsid w:val="44BA2C52"/>
    <w:rsid w:val="697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EBBB4A8348424B978E66754BF5385250_13</vt:lpwstr>
  </property>
</Properties>
</file>